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45" w:rsidRDefault="00743B4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3B45" w:rsidRDefault="00743B45">
      <w:pPr>
        <w:pStyle w:val="ConsPlusNormal"/>
        <w:jc w:val="both"/>
        <w:outlineLvl w:val="0"/>
      </w:pPr>
    </w:p>
    <w:p w:rsidR="00743B45" w:rsidRDefault="00743B45">
      <w:pPr>
        <w:pStyle w:val="ConsPlusTitle"/>
        <w:jc w:val="center"/>
        <w:outlineLvl w:val="0"/>
      </w:pPr>
      <w:r>
        <w:t>МУНИЦИПАЛЬНОЕ ОБРАЗОВАНИЕ</w:t>
      </w:r>
    </w:p>
    <w:p w:rsidR="00743B45" w:rsidRDefault="00743B45">
      <w:pPr>
        <w:pStyle w:val="ConsPlusTitle"/>
        <w:jc w:val="center"/>
      </w:pPr>
      <w:r>
        <w:t>"ГОРОД БАЛАБАНОВО"</w:t>
      </w:r>
    </w:p>
    <w:p w:rsidR="00743B45" w:rsidRDefault="00743B45">
      <w:pPr>
        <w:pStyle w:val="ConsPlusTitle"/>
        <w:jc w:val="center"/>
      </w:pPr>
      <w:r>
        <w:t>БОРОВСКИЙ РАЙОН КАЛУЖСКОЙ ОБЛАСТИ</w:t>
      </w:r>
    </w:p>
    <w:p w:rsidR="00743B45" w:rsidRDefault="00743B45">
      <w:pPr>
        <w:pStyle w:val="ConsPlusTitle"/>
        <w:jc w:val="center"/>
      </w:pPr>
    </w:p>
    <w:p w:rsidR="00743B45" w:rsidRDefault="00743B45">
      <w:pPr>
        <w:pStyle w:val="ConsPlusTitle"/>
        <w:jc w:val="center"/>
      </w:pPr>
      <w:r>
        <w:t>РЕШЕНИЕ</w:t>
      </w:r>
    </w:p>
    <w:p w:rsidR="00743B45" w:rsidRDefault="00743B45">
      <w:pPr>
        <w:pStyle w:val="ConsPlusTitle"/>
        <w:jc w:val="center"/>
      </w:pPr>
      <w:r>
        <w:t>ГОРОДСКОЙ ДУМЫ</w:t>
      </w:r>
    </w:p>
    <w:p w:rsidR="00743B45" w:rsidRDefault="00743B45">
      <w:pPr>
        <w:pStyle w:val="ConsPlusTitle"/>
        <w:jc w:val="center"/>
      </w:pPr>
      <w:r>
        <w:t>от 30 октября 2014 г. N 64-д</w:t>
      </w:r>
    </w:p>
    <w:p w:rsidR="00743B45" w:rsidRDefault="00743B45">
      <w:pPr>
        <w:pStyle w:val="ConsPlusTitle"/>
        <w:jc w:val="center"/>
      </w:pPr>
    </w:p>
    <w:p w:rsidR="00743B45" w:rsidRDefault="00743B45">
      <w:pPr>
        <w:pStyle w:val="ConsPlusTitle"/>
        <w:jc w:val="center"/>
      </w:pPr>
      <w:r>
        <w:t xml:space="preserve">ОБ УТВЕРЖДЕНИИ ПОЛОЖЕНИЯ "О НАЛОГЕ НА ИМУЩЕСТВО </w:t>
      </w:r>
      <w:proofErr w:type="gramStart"/>
      <w:r>
        <w:t>ФИЗИЧЕСКИХ</w:t>
      </w:r>
      <w:proofErr w:type="gramEnd"/>
    </w:p>
    <w:p w:rsidR="00743B45" w:rsidRDefault="00743B45">
      <w:pPr>
        <w:pStyle w:val="ConsPlusTitle"/>
        <w:jc w:val="center"/>
      </w:pPr>
      <w:r>
        <w:t>ЛИЦ НА ТЕРРИТОРИИ МУНИЦИПАЛЬНОГО ОБРАЗОВАНИЯ</w:t>
      </w:r>
    </w:p>
    <w:p w:rsidR="00743B45" w:rsidRDefault="00743B45">
      <w:pPr>
        <w:pStyle w:val="ConsPlusTitle"/>
        <w:jc w:val="center"/>
      </w:pPr>
      <w:r>
        <w:t>"ГОРОД БАЛАБАНОВО"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Налоговым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Балабаново" Городская Дума городского поселения "Город Балабаново"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>РЕШИЛА: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"О налоге на имущество физических лиц на территории муниципального образования "Город Балабаново" - приложение N 1 к настоящему Решению.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Положение</w:t>
        </w:r>
      </w:hyperlink>
      <w:r>
        <w:t xml:space="preserve"> "О налоге на имущество физических лиц на территории городского поселения "Город Балабаново", утвержденное решением Городской Думы городского поселения "Город Балабаново" от 28 октября 2010 года N 81-д.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>3. 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right"/>
      </w:pPr>
      <w:r>
        <w:t>Глава городского поселения</w:t>
      </w:r>
    </w:p>
    <w:p w:rsidR="00743B45" w:rsidRDefault="00743B45">
      <w:pPr>
        <w:pStyle w:val="ConsPlusNormal"/>
        <w:jc w:val="right"/>
      </w:pPr>
      <w:r>
        <w:t>"Город Балабаново"</w:t>
      </w:r>
    </w:p>
    <w:p w:rsidR="00743B45" w:rsidRDefault="00743B45">
      <w:pPr>
        <w:pStyle w:val="ConsPlusNormal"/>
        <w:jc w:val="right"/>
      </w:pPr>
      <w:proofErr w:type="spellStart"/>
      <w:r>
        <w:t>С.А.Судаков</w:t>
      </w:r>
      <w:proofErr w:type="spellEnd"/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right"/>
        <w:outlineLvl w:val="0"/>
      </w:pPr>
      <w:r>
        <w:t>Приложение N 1</w:t>
      </w:r>
    </w:p>
    <w:p w:rsidR="00743B45" w:rsidRDefault="00743B45">
      <w:pPr>
        <w:pStyle w:val="ConsPlusNormal"/>
        <w:jc w:val="right"/>
      </w:pPr>
      <w:r>
        <w:t>к Решению</w:t>
      </w:r>
    </w:p>
    <w:p w:rsidR="00743B45" w:rsidRDefault="00743B45">
      <w:pPr>
        <w:pStyle w:val="ConsPlusNormal"/>
        <w:jc w:val="right"/>
      </w:pPr>
      <w:r>
        <w:t>Городской Думы</w:t>
      </w:r>
    </w:p>
    <w:p w:rsidR="00743B45" w:rsidRDefault="00743B45">
      <w:pPr>
        <w:pStyle w:val="ConsPlusNormal"/>
        <w:jc w:val="right"/>
      </w:pPr>
      <w:r>
        <w:t>городского поселения</w:t>
      </w:r>
    </w:p>
    <w:p w:rsidR="00743B45" w:rsidRDefault="00743B45">
      <w:pPr>
        <w:pStyle w:val="ConsPlusNormal"/>
        <w:jc w:val="right"/>
      </w:pPr>
      <w:r>
        <w:t>"Город Балабаново"</w:t>
      </w:r>
    </w:p>
    <w:p w:rsidR="00743B45" w:rsidRDefault="00743B45">
      <w:pPr>
        <w:pStyle w:val="ConsPlusNormal"/>
        <w:jc w:val="right"/>
      </w:pPr>
      <w:r>
        <w:t>от 30 октября 2014 г. N 64-д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Title"/>
        <w:jc w:val="center"/>
      </w:pPr>
      <w:bookmarkStart w:id="1" w:name="P35"/>
      <w:bookmarkEnd w:id="1"/>
      <w:r>
        <w:t>ПОЛОЖЕНИЕ</w:t>
      </w:r>
    </w:p>
    <w:p w:rsidR="00743B45" w:rsidRDefault="00743B45">
      <w:pPr>
        <w:pStyle w:val="ConsPlusTitle"/>
        <w:jc w:val="center"/>
      </w:pPr>
      <w:r>
        <w:t>О НАЛОГЕ НА ИМУЩЕСТВО ФИЗИЧЕСКИХ ЛИЦ НА ТЕРРИТОРИИ</w:t>
      </w:r>
    </w:p>
    <w:p w:rsidR="00743B45" w:rsidRDefault="00743B45">
      <w:pPr>
        <w:pStyle w:val="ConsPlusTitle"/>
        <w:jc w:val="center"/>
      </w:pPr>
      <w:r>
        <w:t>МУНИЦИПАЛЬНОГО ОБРАЗОВАНИЯ "ГОРОД БАЛАБАНОВО"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Настоящим Положением определяются налоговые ставки на имущество физических лиц, </w:t>
      </w:r>
      <w:r>
        <w:lastRenderedPageBreak/>
        <w:t xml:space="preserve">особенности определения налоговой базы и налоговые льготы на территории муниципального образования "Город Балабаново" в соответствии с Налоговым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 xml:space="preserve">Понятия, используемые в настоящем Положении, употребляются в значениях, определенных Налоговым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  <w:outlineLvl w:val="1"/>
      </w:pPr>
      <w:r>
        <w:t>Статья 2. Объект налогообложения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Объектом налогообложения признается расположенное в пределах муниципального образования "Город Балабаново" следующее имущество: жилой дом, жилое помещение (квартира, комната), гараж, </w:t>
      </w:r>
      <w:proofErr w:type="spellStart"/>
      <w:r>
        <w:t>машино</w:t>
      </w:r>
      <w:proofErr w:type="spellEnd"/>
      <w:r>
        <w:t>-место, единый недвижимый комплекс, объект незавершенного строительства, иные здание, строение, сооружение, помещение.</w:t>
      </w:r>
      <w:proofErr w:type="gramEnd"/>
      <w:r>
        <w:t xml:space="preserve"> При этом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>2. Имущество, входящее в состав общего имущества многоквартирного дома, объектом налогообложения не признается.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  <w:outlineLvl w:val="1"/>
      </w:pPr>
      <w:r>
        <w:t>Статья 3. Налоговая база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 момента принятия представительным органом государственной власти Калужской области решения об установлении единой даты начала применения на территории Калужской области порядка определения налоговой базы исходя из кадастровой стоимости объектов налогообложения с учетом </w:t>
      </w:r>
      <w:hyperlink r:id="rId12" w:history="1">
        <w:r>
          <w:rPr>
            <w:color w:val="0000FF"/>
          </w:rPr>
          <w:t>статьи 5</w:t>
        </w:r>
      </w:hyperlink>
      <w:r>
        <w:t xml:space="preserve"> Налогового кодекса, на территории муниципального образования "Город Балабаново" налоговая база в отношении объектов налогообложения определяется исходя из их инвентаризационной стоимости, за исключением объектов, указанных в </w:t>
      </w:r>
      <w:hyperlink r:id="rId13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. 3 ст. 402</w:t>
        </w:r>
      </w:hyperlink>
      <w:r>
        <w:t xml:space="preserve"> Налогового кодекса Российской Федерации. При этом, начиная с 1 января 2020 года определение налоговой базы по налогу на имущество физических лиц </w:t>
      </w:r>
      <w:proofErr w:type="gramStart"/>
      <w:r>
        <w:t>исходя из инвентаризационной стоимости объектов налогообложения не производится</w:t>
      </w:r>
      <w:proofErr w:type="gramEnd"/>
      <w:r>
        <w:t>.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 xml:space="preserve">2. Налоговая база в отношении объектов налогообложения, указанных в </w:t>
      </w:r>
      <w:hyperlink r:id="rId14" w:history="1">
        <w:r>
          <w:rPr>
            <w:color w:val="0000FF"/>
          </w:rPr>
          <w:t>п. 3 ст. 402</w:t>
        </w:r>
      </w:hyperlink>
      <w:r>
        <w:t xml:space="preserve">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 xml:space="preserve">3. Порядок определения налоговой базы </w:t>
      </w:r>
      <w:proofErr w:type="gramStart"/>
      <w:r>
        <w:t>исходя из инвентаризационной стоимости объекта налогообложения устанавливается</w:t>
      </w:r>
      <w:proofErr w:type="gramEnd"/>
      <w:r>
        <w:t xml:space="preserve"> Налоговым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  <w:outlineLvl w:val="1"/>
      </w:pPr>
      <w:r>
        <w:t>Статья 4. Налоговые ставки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1. Налоговые ставки устанавливаются на </w:t>
      </w:r>
      <w:proofErr w:type="gramStart"/>
      <w:r>
        <w:t>основе</w:t>
      </w:r>
      <w:proofErr w:type="gramEnd"/>
      <w: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стоимости объектов налогообложения, принадлежащих на праве собственности налогоплательщику (с учетом доли налогоплательщика в праве собственности на каждый из таких объектов), расположенных в пределах муниципального образования "Город Балабаново", в следующих размерах: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>1.1. В отношении жилых домов, жилых помещений (квартир, комнат), объектов незавершенного строительства:</w:t>
      </w:r>
    </w:p>
    <w:p w:rsidR="00743B45" w:rsidRDefault="00743B45">
      <w:pPr>
        <w:sectPr w:rsidR="00743B45" w:rsidSect="00F71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B45" w:rsidRDefault="00743B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2098"/>
      </w:tblGrid>
      <w:tr w:rsidR="00743B45">
        <w:tc>
          <w:tcPr>
            <w:tcW w:w="7540" w:type="dxa"/>
          </w:tcPr>
          <w:p w:rsidR="00743B45" w:rsidRDefault="00743B45">
            <w:pPr>
              <w:pStyle w:val="ConsPlusNormal"/>
              <w:jc w:val="center"/>
            </w:pPr>
            <w: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center"/>
            </w:pPr>
            <w:r>
              <w:t>Ставка налога, %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До 300000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0,1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300000 рублей до 500000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0,2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500000 рублей до 700000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0,5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700000 рублей до 1000000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1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1000000 рублей до 1500000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1,5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1500000 рублей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2</w:t>
            </w:r>
          </w:p>
        </w:tc>
      </w:tr>
    </w:tbl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1.2. В отношении гаражей и </w:t>
      </w:r>
      <w:proofErr w:type="spellStart"/>
      <w:r>
        <w:t>машино</w:t>
      </w:r>
      <w:proofErr w:type="spellEnd"/>
      <w:r>
        <w:t>-мест:</w:t>
      </w:r>
    </w:p>
    <w:p w:rsidR="00743B45" w:rsidRDefault="00743B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2098"/>
      </w:tblGrid>
      <w:tr w:rsidR="00743B45">
        <w:tc>
          <w:tcPr>
            <w:tcW w:w="7540" w:type="dxa"/>
          </w:tcPr>
          <w:p w:rsidR="00743B45" w:rsidRDefault="00743B45">
            <w:pPr>
              <w:pStyle w:val="ConsPlusNormal"/>
              <w:jc w:val="center"/>
            </w:pPr>
            <w: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center"/>
            </w:pPr>
            <w:r>
              <w:t>Ставка налога, %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До 300000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0,1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300000 рублей до 500000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0,2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500000 рублей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0,35</w:t>
            </w:r>
          </w:p>
        </w:tc>
      </w:tr>
    </w:tbl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>1.3. В отношении единых недвижимых комплексов, иных зданий, строений, сооружений, помещений:</w:t>
      </w:r>
    </w:p>
    <w:p w:rsidR="00743B45" w:rsidRDefault="00743B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2098"/>
      </w:tblGrid>
      <w:tr w:rsidR="00743B45">
        <w:tc>
          <w:tcPr>
            <w:tcW w:w="7540" w:type="dxa"/>
          </w:tcPr>
          <w:p w:rsidR="00743B45" w:rsidRDefault="00743B45">
            <w:pPr>
              <w:pStyle w:val="ConsPlusNormal"/>
              <w:jc w:val="center"/>
            </w:pPr>
            <w: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center"/>
            </w:pPr>
            <w:r>
              <w:t>Ставка налога, %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lastRenderedPageBreak/>
              <w:t>До 300000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0,1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300000 рублей до 500000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0,3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500000 рублей до 700000 рублей включительно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0,5</w:t>
            </w:r>
          </w:p>
        </w:tc>
      </w:tr>
      <w:tr w:rsidR="00743B45">
        <w:tc>
          <w:tcPr>
            <w:tcW w:w="7540" w:type="dxa"/>
          </w:tcPr>
          <w:p w:rsidR="00743B45" w:rsidRDefault="00743B45">
            <w:pPr>
              <w:pStyle w:val="ConsPlusNormal"/>
            </w:pPr>
            <w:r>
              <w:t>Свыше 700000 рублей</w:t>
            </w:r>
          </w:p>
        </w:tc>
        <w:tc>
          <w:tcPr>
            <w:tcW w:w="2098" w:type="dxa"/>
          </w:tcPr>
          <w:p w:rsidR="00743B45" w:rsidRDefault="00743B45">
            <w:pPr>
              <w:pStyle w:val="ConsPlusNormal"/>
              <w:jc w:val="right"/>
            </w:pPr>
            <w:r>
              <w:t>2</w:t>
            </w:r>
          </w:p>
        </w:tc>
      </w:tr>
    </w:tbl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2. В отношении объектов налогообложения, указанных в </w:t>
      </w:r>
      <w:hyperlink r:id="rId16" w:history="1">
        <w:r>
          <w:rPr>
            <w:color w:val="0000FF"/>
          </w:rPr>
          <w:t>п. 3 ст. 402</w:t>
        </w:r>
      </w:hyperlink>
      <w:r>
        <w:t xml:space="preserve"> Налогового кодекса Российской Федерации, налоговые ставки устанавливаются в соответствии с Налоговым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  <w:outlineLvl w:val="1"/>
      </w:pPr>
      <w:r>
        <w:t>Статья 5. Налоговые льготы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 xml:space="preserve">1. Налоговая льгота предоставляется в размере подлежащей уплате налогоплательщиком суммы налога категориям налогоплательщиков, указанным в Налоговом </w:t>
      </w:r>
      <w:hyperlink r:id="rId18" w:history="1">
        <w:r>
          <w:rPr>
            <w:color w:val="0000FF"/>
          </w:rPr>
          <w:t>кодексе</w:t>
        </w:r>
      </w:hyperlink>
      <w:r>
        <w:t xml:space="preserve"> Российской Федерации, а также: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>детям-сиротам несовершеннолетнего возраста (при представлении документа, подтверждающего статус ребенка-сироты);</w:t>
      </w:r>
    </w:p>
    <w:p w:rsidR="00743B45" w:rsidRDefault="00743B45">
      <w:pPr>
        <w:pStyle w:val="ConsPlusNormal"/>
        <w:spacing w:before="220"/>
        <w:ind w:firstLine="540"/>
        <w:jc w:val="both"/>
      </w:pPr>
      <w:r>
        <w:t xml:space="preserve">многодетным семьям (при представлении документа, подтверждающего статус многодетной семьи, налоговая льгота предоставляется одному из членов многодетной семьи)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При этом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и только в отношении объектов налогообложения, указанных в Налоговом </w:t>
      </w:r>
      <w:hyperlink r:id="rId19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  <w:outlineLvl w:val="1"/>
      </w:pPr>
      <w:r>
        <w:t>Статья 6. Заключительные положения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ind w:firstLine="540"/>
        <w:jc w:val="both"/>
      </w:pPr>
      <w:r>
        <w:t>Настоящее Положение вступает в силу с 1 января 2015 года.</w:t>
      </w: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jc w:val="both"/>
      </w:pPr>
    </w:p>
    <w:p w:rsidR="00743B45" w:rsidRDefault="00743B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BBE" w:rsidRDefault="00353BBE"/>
    <w:sectPr w:rsidR="00353BBE" w:rsidSect="00B411B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5"/>
    <w:rsid w:val="00353BBE"/>
    <w:rsid w:val="00743B45"/>
    <w:rsid w:val="00A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017FB99E055EEE32222C3B6B1C1937D04C2CE650B41B1FE04402522717F165F3BE8992E312B2C2A31F52EX2NCM" TargetMode="External"/><Relationship Id="rId13" Type="http://schemas.openxmlformats.org/officeDocument/2006/relationships/hyperlink" Target="consultantplus://offline/ref=E49017FB99E055EEE3223CCEA0DD9F9D780D9CC063084FE6A45246727D2179431F7BEECC6D7625X2N4M" TargetMode="External"/><Relationship Id="rId18" Type="http://schemas.openxmlformats.org/officeDocument/2006/relationships/hyperlink" Target="consultantplus://offline/ref=E49017FB99E055EEE3223CCEA0DD9F9D780D9CC063084FE6A45246727D2179431F7BEECC6D762EX2N8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49017FB99E055EEE3223CCEA0DD9F9D780D9CC063084FE6A45246727D2179431F7BEECC6D7627X2N5M" TargetMode="External"/><Relationship Id="rId12" Type="http://schemas.openxmlformats.org/officeDocument/2006/relationships/hyperlink" Target="consultantplus://offline/ref=E49017FB99E055EEE3223CCEA0DD9F9D780E9CC567034FE6A45246727D2179431F7BEECC6D752629X2NBM" TargetMode="External"/><Relationship Id="rId17" Type="http://schemas.openxmlformats.org/officeDocument/2006/relationships/hyperlink" Target="consultantplus://offline/ref=E49017FB99E055EEE3223CCEA0DD9F9D780D9CC063084FE6A45246727D2179431F7BEEC46F75X2N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9017FB99E055EEE3223CCEA0DD9F9D780D9CC063084FE6A45246727D2179431F7BEECC6D7625X2N4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017FB99E055EEE3223CCEA0DD9F9D780D9CC061094FE6A45246727D2179431F7BEECC6D75272CX2NDM" TargetMode="External"/><Relationship Id="rId11" Type="http://schemas.openxmlformats.org/officeDocument/2006/relationships/hyperlink" Target="consultantplus://offline/ref=E49017FB99E055EEE3223CCEA0DD9F9D780E9CC567034FE6A45246727D2179431F7BEECC6D75262DX2N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9017FB99E055EEE3223CCEA0DD9F9D780D9CC063084FE6A45246727D2179431F7BEECC6D7625X2N9M" TargetMode="External"/><Relationship Id="rId10" Type="http://schemas.openxmlformats.org/officeDocument/2006/relationships/hyperlink" Target="consultantplus://offline/ref=E49017FB99E055EEE3223CCEA0DD9F9D780D9CC063084FE6A45246727D2179431F7BEECC6D7627X2N5M" TargetMode="External"/><Relationship Id="rId19" Type="http://schemas.openxmlformats.org/officeDocument/2006/relationships/hyperlink" Target="consultantplus://offline/ref=E49017FB99E055EEE3223CCEA0DD9F9D780D9CC063084FE6A45246727D2179431F7BEECC6D762EX2N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017FB99E055EEE32222C3B6B1C1937D04C2CE630947B2FD0D1D2F2A2873145834B78E2978272D2A31F7X2NEM" TargetMode="External"/><Relationship Id="rId14" Type="http://schemas.openxmlformats.org/officeDocument/2006/relationships/hyperlink" Target="consultantplus://offline/ref=E49017FB99E055EEE3223CCEA0DD9F9D780D9CC063084FE6A45246727D2179431F7BEECC6D7625X2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</cp:revision>
  <dcterms:created xsi:type="dcterms:W3CDTF">2017-08-09T12:13:00Z</dcterms:created>
  <dcterms:modified xsi:type="dcterms:W3CDTF">2017-08-18T04:56:00Z</dcterms:modified>
</cp:coreProperties>
</file>